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917F" w14:textId="1C63A905" w:rsidR="00B43526" w:rsidRDefault="00BB338A" w:rsidP="005A6FE4">
      <w:pPr>
        <w:pStyle w:val="Title"/>
      </w:pPr>
      <w:r w:rsidRPr="00BB338A">
        <w:t>Corporate Partnerships Manager</w:t>
      </w:r>
    </w:p>
    <w:p w14:paraId="65F97127" w14:textId="77777777" w:rsidR="008D63E7" w:rsidRDefault="008D63E7" w:rsidP="00C77DE0">
      <w:pPr>
        <w:pStyle w:val="Subtitle"/>
        <w:tabs>
          <w:tab w:val="center" w:pos="4989"/>
        </w:tabs>
      </w:pPr>
      <w:r>
        <w:t>Job description</w:t>
      </w:r>
    </w:p>
    <w:p w14:paraId="2D76D1F7" w14:textId="77777777" w:rsidR="00CC070A" w:rsidRDefault="00CC070A" w:rsidP="00CC070A"/>
    <w:p w14:paraId="66C05C7F" w14:textId="77777777" w:rsidR="00BB338A" w:rsidRDefault="00BB338A" w:rsidP="00CC070A"/>
    <w:p w14:paraId="0A76CF93" w14:textId="77777777" w:rsidR="00BB338A" w:rsidRDefault="00BB338A" w:rsidP="00CC070A"/>
    <w:p w14:paraId="0085FFC1" w14:textId="77777777" w:rsidR="00BB338A" w:rsidRDefault="00BB338A" w:rsidP="00CC070A"/>
    <w:p w14:paraId="3F799F56" w14:textId="77777777" w:rsidR="00BB338A" w:rsidRDefault="00BB338A" w:rsidP="00CC070A"/>
    <w:p w14:paraId="093FB16C" w14:textId="77777777" w:rsidR="00BB338A" w:rsidRDefault="00BB338A" w:rsidP="00CC070A"/>
    <w:p w14:paraId="15237354" w14:textId="77777777" w:rsidR="00BB338A" w:rsidRDefault="00BB338A" w:rsidP="00CC070A"/>
    <w:p w14:paraId="4667ACC6" w14:textId="77777777" w:rsidR="00BB338A" w:rsidRDefault="00BB338A" w:rsidP="00CC070A"/>
    <w:p w14:paraId="6CF688AB" w14:textId="77777777" w:rsidR="00BB338A" w:rsidRDefault="00BB338A" w:rsidP="00CC070A"/>
    <w:p w14:paraId="3BA0AC7C" w14:textId="77777777" w:rsidR="00BB338A" w:rsidRDefault="00BB338A" w:rsidP="00CC070A"/>
    <w:p w14:paraId="65E5630E" w14:textId="77777777" w:rsidR="00BB338A" w:rsidRDefault="00BB338A" w:rsidP="00CC070A"/>
    <w:p w14:paraId="627C3B15" w14:textId="77777777" w:rsidR="00BB338A" w:rsidRDefault="00BB338A" w:rsidP="00CC070A"/>
    <w:p w14:paraId="47C9C9F0" w14:textId="77777777" w:rsidR="00396E0F" w:rsidRDefault="008D63E7" w:rsidP="008D63E7">
      <w:pPr>
        <w:pStyle w:val="Heading1"/>
      </w:pPr>
      <w:r>
        <w:lastRenderedPageBreak/>
        <w:t>Role description</w:t>
      </w:r>
    </w:p>
    <w:p w14:paraId="2354E5B0" w14:textId="3364C197" w:rsidR="00CC070A" w:rsidRDefault="00CC070A" w:rsidP="00CC070A">
      <w:pPr>
        <w:pStyle w:val="ListParagraph"/>
        <w:numPr>
          <w:ilvl w:val="0"/>
          <w:numId w:val="6"/>
        </w:numPr>
      </w:pPr>
      <w:r w:rsidRPr="00CC070A">
        <w:rPr>
          <w:rStyle w:val="Demibold"/>
        </w:rPr>
        <w:t xml:space="preserve">Salary: </w:t>
      </w:r>
      <w:r>
        <w:t xml:space="preserve">Grade </w:t>
      </w:r>
      <w:r w:rsidR="00BB338A">
        <w:t>I</w:t>
      </w:r>
    </w:p>
    <w:p w14:paraId="0AFC6130" w14:textId="77A59566" w:rsidR="00CC070A" w:rsidRDefault="00CC070A" w:rsidP="00BB338A">
      <w:pPr>
        <w:pStyle w:val="ListParagraph"/>
        <w:numPr>
          <w:ilvl w:val="0"/>
          <w:numId w:val="6"/>
        </w:numPr>
      </w:pPr>
      <w:r w:rsidRPr="00CC070A">
        <w:rPr>
          <w:rStyle w:val="Demibold"/>
        </w:rPr>
        <w:t>Location</w:t>
      </w:r>
      <w:r>
        <w:t xml:space="preserve">: </w:t>
      </w:r>
      <w:r w:rsidR="00BB338A">
        <w:t>Walk Wheel Cycle Trust</w:t>
      </w:r>
      <w:r w:rsidR="00BB338A" w:rsidRPr="00BB338A">
        <w:t xml:space="preserve"> offices in</w:t>
      </w:r>
      <w:r w:rsidR="00BB338A" w:rsidRPr="00BB338A">
        <w:rPr>
          <w:b/>
        </w:rPr>
        <w:t xml:space="preserve"> </w:t>
      </w:r>
      <w:r w:rsidR="00BB338A" w:rsidRPr="00BB338A">
        <w:t>Bristol with negotiable days of home working</w:t>
      </w:r>
    </w:p>
    <w:p w14:paraId="0F293686" w14:textId="006619A2" w:rsidR="00CC070A" w:rsidRDefault="00CC070A" w:rsidP="00CC070A">
      <w:pPr>
        <w:pStyle w:val="ListParagraph"/>
        <w:numPr>
          <w:ilvl w:val="0"/>
          <w:numId w:val="6"/>
        </w:numPr>
      </w:pPr>
      <w:r w:rsidRPr="00CC070A">
        <w:rPr>
          <w:rStyle w:val="Demibold"/>
        </w:rPr>
        <w:t xml:space="preserve">Line manager: </w:t>
      </w:r>
      <w:r w:rsidR="00BB338A">
        <w:t>Fundraising and Supporter Engagement Director</w:t>
      </w:r>
    </w:p>
    <w:p w14:paraId="3B1D5C1E" w14:textId="1A2A8622" w:rsidR="008D63E7" w:rsidRDefault="00CC070A" w:rsidP="00CC070A">
      <w:pPr>
        <w:pStyle w:val="ListParagraph"/>
        <w:numPr>
          <w:ilvl w:val="0"/>
          <w:numId w:val="6"/>
        </w:numPr>
      </w:pPr>
      <w:r w:rsidRPr="00CC070A">
        <w:rPr>
          <w:rStyle w:val="Demibold"/>
        </w:rPr>
        <w:t xml:space="preserve">Department / Team: </w:t>
      </w:r>
      <w:r w:rsidR="00BB338A" w:rsidRPr="00BB338A">
        <w:t>Strategy and Engagement/ Fundraising and Supporter Engagament</w:t>
      </w:r>
    </w:p>
    <w:p w14:paraId="7063AF88" w14:textId="77777777" w:rsidR="008D63E7" w:rsidRDefault="008D63E7" w:rsidP="008D63E7">
      <w:pPr>
        <w:pStyle w:val="Heading2"/>
      </w:pPr>
      <w:r>
        <w:t>Role summary</w:t>
      </w:r>
    </w:p>
    <w:p w14:paraId="2F957CF0" w14:textId="7EEEDD7C" w:rsidR="00BB338A" w:rsidRDefault="00BB338A" w:rsidP="00BB338A">
      <w:r w:rsidRPr="00BB338A">
        <w:t xml:space="preserve">With direction from the Head of Fundraising, develop and implement a Corporate Partnerships strategy to secure and account manage strategic corporate partnerships to help </w:t>
      </w:r>
      <w:r>
        <w:t>Walk Wheel Cycle Trust</w:t>
      </w:r>
      <w:r w:rsidRPr="00BB338A">
        <w:t xml:space="preserve"> increase its reach, engagement and income. Maximising immediate and long-term opportunities to support our Paths for Everyone and Liveable Cities &amp; Towns for Everyone strategic priorities. </w:t>
      </w:r>
    </w:p>
    <w:p w14:paraId="1C7CDED8" w14:textId="08B8CDBA" w:rsidR="00BB338A" w:rsidRPr="00BB338A" w:rsidRDefault="00BB338A" w:rsidP="00BB338A">
      <w:r w:rsidRPr="00BB338A">
        <w:t xml:space="preserve">To develop a sector strategy together with appropriate propositions and products for potential Corporate Partners in those sectors. To build relationships and write compelling proposals for mutually beneficial partnerships, co-ordinating input from across </w:t>
      </w:r>
      <w:r>
        <w:t>Walk Wheel Cycle Trust</w:t>
      </w:r>
      <w:r w:rsidRPr="00BB338A">
        <w:t xml:space="preserve"> teams. </w:t>
      </w:r>
    </w:p>
    <w:p w14:paraId="2CCE7332" w14:textId="77777777" w:rsidR="00BB338A" w:rsidRPr="00BB338A" w:rsidRDefault="00BB338A" w:rsidP="00BB338A"/>
    <w:p w14:paraId="4E884C77" w14:textId="77777777" w:rsidR="008D63E7" w:rsidRDefault="008D63E7" w:rsidP="008D63E7">
      <w:pPr>
        <w:pStyle w:val="Heading2"/>
      </w:pPr>
      <w:r>
        <w:t>Key responsibilities</w:t>
      </w:r>
    </w:p>
    <w:p w14:paraId="27E72451" w14:textId="77777777" w:rsidR="00BB338A" w:rsidRPr="00BB338A" w:rsidRDefault="00BB338A" w:rsidP="00BB338A">
      <w:pPr>
        <w:rPr>
          <w:b/>
        </w:rPr>
      </w:pPr>
      <w:r w:rsidRPr="00BB338A">
        <w:rPr>
          <w:b/>
        </w:rPr>
        <w:t>New business:</w:t>
      </w:r>
    </w:p>
    <w:p w14:paraId="6968EEF2" w14:textId="38F92694" w:rsidR="00BB338A" w:rsidRPr="00BB338A" w:rsidRDefault="00BB338A" w:rsidP="00BB338A">
      <w:pPr>
        <w:numPr>
          <w:ilvl w:val="0"/>
          <w:numId w:val="9"/>
        </w:numPr>
      </w:pPr>
      <w:r w:rsidRPr="00BB338A">
        <w:t xml:space="preserve">Under direction and guidance from the Head of Fundraising, to develop a distinctive new business strategy to maximise the potential from corporate partners, taking a holistic approach to ensure the impact of such partnerships is maximised for the benefit of </w:t>
      </w:r>
      <w:r>
        <w:t>Walk Wheel Cycle Trust</w:t>
      </w:r>
      <w:r w:rsidRPr="00BB338A">
        <w:t xml:space="preserve"> and the corporate partner.</w:t>
      </w:r>
    </w:p>
    <w:p w14:paraId="79A3AA9A" w14:textId="77777777" w:rsidR="00BB338A" w:rsidRPr="00BB338A" w:rsidRDefault="00BB338A" w:rsidP="00BB338A">
      <w:pPr>
        <w:numPr>
          <w:ilvl w:val="0"/>
          <w:numId w:val="9"/>
        </w:numPr>
      </w:pPr>
      <w:r w:rsidRPr="00BB338A">
        <w:t>To develop propositions and products which attract corporate prospects who share our vision, mission and values and can help us deliver our strategic priorities Paths for Everyone and Liveable Cities &amp; Towns for Everyone.</w:t>
      </w:r>
    </w:p>
    <w:p w14:paraId="16D4DD58" w14:textId="77777777" w:rsidR="00BB338A" w:rsidRPr="00BB338A" w:rsidRDefault="00BB338A" w:rsidP="00BB338A">
      <w:pPr>
        <w:numPr>
          <w:ilvl w:val="0"/>
          <w:numId w:val="9"/>
        </w:numPr>
      </w:pPr>
      <w:r w:rsidRPr="00BB338A">
        <w:lastRenderedPageBreak/>
        <w:t>To develop the full range of Corporate Income streams (Donations, Sponsorship, Cause Related Marketing, Employee Fundraising, Customer Fundraising) as part of a wider strategic offering under direction from the Head of Fundraising.</w:t>
      </w:r>
    </w:p>
    <w:p w14:paraId="7F3C3522" w14:textId="2D2D742B" w:rsidR="00BB338A" w:rsidRPr="00BB338A" w:rsidRDefault="00BB338A" w:rsidP="00BB338A">
      <w:pPr>
        <w:numPr>
          <w:ilvl w:val="0"/>
          <w:numId w:val="9"/>
        </w:numPr>
      </w:pPr>
      <w:r w:rsidRPr="00BB338A">
        <w:t xml:space="preserve">To work with the Board of Trustees and senior </w:t>
      </w:r>
      <w:r>
        <w:t>Walk Wheel Cycle Trust</w:t>
      </w:r>
      <w:r w:rsidRPr="00BB338A">
        <w:t xml:space="preserve"> staff to map their networks and identify links to corporate partners and prospects; to coach and support such staff in making appropriate introductions and approaches</w:t>
      </w:r>
    </w:p>
    <w:p w14:paraId="43CF5416" w14:textId="77777777" w:rsidR="00BB338A" w:rsidRPr="00BB338A" w:rsidRDefault="00BB338A" w:rsidP="00BB338A">
      <w:pPr>
        <w:numPr>
          <w:ilvl w:val="0"/>
          <w:numId w:val="9"/>
        </w:numPr>
      </w:pPr>
      <w:r w:rsidRPr="00BB338A">
        <w:t>To proactively develop, support and, where appropriate, lead development of high-level strategic relationships with Corporate prospects and partners, working with regional teams and Head of Fundraising as appropriate.</w:t>
      </w:r>
    </w:p>
    <w:p w14:paraId="03D997DA" w14:textId="77777777" w:rsidR="00BB338A" w:rsidRPr="00BB338A" w:rsidRDefault="00BB338A" w:rsidP="00BB338A">
      <w:pPr>
        <w:numPr>
          <w:ilvl w:val="0"/>
          <w:numId w:val="9"/>
        </w:numPr>
      </w:pPr>
      <w:r w:rsidRPr="00BB338A">
        <w:t>To ensure new partnerships are developed within our Ethical Fundraising Framework and that they are fully risk assessed within our policy framework.</w:t>
      </w:r>
    </w:p>
    <w:p w14:paraId="4DA34117" w14:textId="77777777" w:rsidR="00BB338A" w:rsidRPr="00BB338A" w:rsidRDefault="00BB338A" w:rsidP="00BB338A"/>
    <w:p w14:paraId="0B04E05B" w14:textId="77777777" w:rsidR="00BB338A" w:rsidRPr="00BB338A" w:rsidRDefault="00BB338A" w:rsidP="00BB338A">
      <w:pPr>
        <w:rPr>
          <w:b/>
          <w:bCs/>
          <w:lang w:val="en-US"/>
        </w:rPr>
      </w:pPr>
      <w:r w:rsidRPr="00BB338A">
        <w:rPr>
          <w:b/>
          <w:bCs/>
          <w:lang w:val="en-US"/>
        </w:rPr>
        <w:t>Account Management</w:t>
      </w:r>
    </w:p>
    <w:p w14:paraId="551FC418" w14:textId="77777777" w:rsidR="00BB338A" w:rsidRPr="00BB338A" w:rsidRDefault="00BB338A" w:rsidP="00BB338A">
      <w:pPr>
        <w:numPr>
          <w:ilvl w:val="0"/>
          <w:numId w:val="9"/>
        </w:numPr>
      </w:pPr>
      <w:r w:rsidRPr="00BB338A">
        <w:t>To provide excellent account management and ensure each corporate partnership has a development plan and appropriately timed account reviews</w:t>
      </w:r>
    </w:p>
    <w:p w14:paraId="3EB2C009" w14:textId="48E558D9" w:rsidR="00BB338A" w:rsidRPr="00BB338A" w:rsidRDefault="00BB338A" w:rsidP="00BB338A">
      <w:pPr>
        <w:numPr>
          <w:ilvl w:val="0"/>
          <w:numId w:val="9"/>
        </w:numPr>
      </w:pPr>
      <w:r w:rsidRPr="00BB338A">
        <w:t xml:space="preserve">To ensure that </w:t>
      </w:r>
      <w:r>
        <w:t>Walk Wheel Cycle Trust</w:t>
      </w:r>
      <w:r w:rsidRPr="00BB338A">
        <w:t xml:space="preserve"> delivers on its contractual obligations including sustainability, marketing and PR objectives, having ensured that all such commitments are in line with </w:t>
      </w:r>
      <w:r>
        <w:t>Walk Wheel Cycle Trust</w:t>
      </w:r>
      <w:r w:rsidRPr="00BB338A">
        <w:t>’ strategy and that relevant teams input into and sign off on such commitments</w:t>
      </w:r>
    </w:p>
    <w:p w14:paraId="6A7DE1A6" w14:textId="6EDBDC6B" w:rsidR="00BB338A" w:rsidRPr="00BB338A" w:rsidRDefault="00BB338A" w:rsidP="00BB338A">
      <w:pPr>
        <w:numPr>
          <w:ilvl w:val="0"/>
          <w:numId w:val="9"/>
        </w:numPr>
      </w:pPr>
      <w:r w:rsidRPr="00BB338A">
        <w:t xml:space="preserve">To ensure that all income and other partnership benefits received by </w:t>
      </w:r>
      <w:r>
        <w:t>Walk Wheel Cycle Trust</w:t>
      </w:r>
      <w:r w:rsidRPr="00BB338A">
        <w:t xml:space="preserve"> are acknowledged swiftly and efficiently at the appropriate level</w:t>
      </w:r>
    </w:p>
    <w:p w14:paraId="7A4688F9" w14:textId="77777777" w:rsidR="00BB338A" w:rsidRPr="00BB338A" w:rsidRDefault="00BB338A" w:rsidP="00BB338A">
      <w:pPr>
        <w:numPr>
          <w:ilvl w:val="0"/>
          <w:numId w:val="9"/>
        </w:numPr>
      </w:pPr>
      <w:r w:rsidRPr="00BB338A">
        <w:t>To adhere to the highest standards of fundraising best practice as set out in the Fundraising Regulator’s codes of practice.</w:t>
      </w:r>
    </w:p>
    <w:p w14:paraId="7F01B955" w14:textId="77777777" w:rsidR="00BB338A" w:rsidRPr="00BB338A" w:rsidRDefault="00BB338A" w:rsidP="00BB338A">
      <w:pPr>
        <w:numPr>
          <w:ilvl w:val="0"/>
          <w:numId w:val="9"/>
        </w:numPr>
      </w:pPr>
      <w:r w:rsidRPr="00BB338A">
        <w:t>To support development of the donor-centric culture of the charity to engage with all donors and partners personally and effectively.</w:t>
      </w:r>
    </w:p>
    <w:p w14:paraId="002FDBE8" w14:textId="41C1A54F" w:rsidR="00BB338A" w:rsidRPr="00BB338A" w:rsidRDefault="00BB338A" w:rsidP="00BB338A">
      <w:pPr>
        <w:numPr>
          <w:ilvl w:val="0"/>
          <w:numId w:val="9"/>
        </w:numPr>
      </w:pPr>
      <w:r w:rsidRPr="00BB338A">
        <w:t xml:space="preserve">To contribute to the delivery of stewardship and policy development events for key donors and proactively seeks to promote </w:t>
      </w:r>
      <w:r>
        <w:t xml:space="preserve">Walk Wheel </w:t>
      </w:r>
      <w:r>
        <w:lastRenderedPageBreak/>
        <w:t>Cycle Trust</w:t>
      </w:r>
      <w:r w:rsidRPr="00BB338A">
        <w:t xml:space="preserve"> as an exciting, effective project partner to the funding community in general.</w:t>
      </w:r>
    </w:p>
    <w:p w14:paraId="471407A8" w14:textId="77777777" w:rsidR="00BB338A" w:rsidRPr="00BB338A" w:rsidRDefault="00BB338A" w:rsidP="00BB338A">
      <w:pPr>
        <w:numPr>
          <w:ilvl w:val="0"/>
          <w:numId w:val="9"/>
        </w:numPr>
      </w:pPr>
      <w:r w:rsidRPr="00BB338A">
        <w:t>To provide timely and accurate reports on Corporate Partnerships to the Head of Fundraising &amp; Retail.</w:t>
      </w:r>
    </w:p>
    <w:p w14:paraId="66769099" w14:textId="77777777" w:rsidR="00BB338A" w:rsidRPr="00BB338A" w:rsidRDefault="00BB338A" w:rsidP="00BB338A">
      <w:pPr>
        <w:rPr>
          <w:b/>
          <w:bCs/>
          <w:lang w:val="en-US"/>
        </w:rPr>
      </w:pPr>
    </w:p>
    <w:p w14:paraId="6D961A44" w14:textId="77777777" w:rsidR="00BB338A" w:rsidRPr="00BB338A" w:rsidRDefault="00BB338A" w:rsidP="00BB338A">
      <w:pPr>
        <w:rPr>
          <w:b/>
          <w:bCs/>
          <w:lang w:val="en-US"/>
        </w:rPr>
      </w:pPr>
      <w:r w:rsidRPr="00BB338A">
        <w:rPr>
          <w:b/>
          <w:bCs/>
          <w:lang w:val="en-US"/>
        </w:rPr>
        <w:t xml:space="preserve">Finance </w:t>
      </w:r>
    </w:p>
    <w:p w14:paraId="327A96FE" w14:textId="77777777" w:rsidR="00BB338A" w:rsidRPr="00BB338A" w:rsidRDefault="00BB338A" w:rsidP="00BB338A">
      <w:pPr>
        <w:numPr>
          <w:ilvl w:val="0"/>
          <w:numId w:val="10"/>
        </w:numPr>
        <w:rPr>
          <w:bCs/>
          <w:lang w:val="en-US"/>
        </w:rPr>
      </w:pPr>
      <w:r w:rsidRPr="00BB338A">
        <w:rPr>
          <w:bCs/>
          <w:lang w:val="en-US"/>
        </w:rPr>
        <w:t>To ensure all partnerships are supported by a written agreement, legally approved and signed off at the appropriate level by both parties</w:t>
      </w:r>
    </w:p>
    <w:p w14:paraId="23FF6485" w14:textId="1BE1A869" w:rsidR="00BB338A" w:rsidRPr="00BB338A" w:rsidRDefault="00BB338A" w:rsidP="00BB338A">
      <w:pPr>
        <w:numPr>
          <w:ilvl w:val="0"/>
          <w:numId w:val="10"/>
        </w:numPr>
        <w:rPr>
          <w:bCs/>
          <w:lang w:val="en-US"/>
        </w:rPr>
      </w:pPr>
      <w:r w:rsidRPr="00BB338A">
        <w:rPr>
          <w:bCs/>
          <w:lang w:val="en-US"/>
        </w:rPr>
        <w:t xml:space="preserve">To provide draft corporate partnerships income and expenditure budgets, forecasts and management accounts variance analyses within </w:t>
      </w:r>
      <w:r>
        <w:rPr>
          <w:bCs/>
          <w:lang w:val="en-US"/>
        </w:rPr>
        <w:t>Walk Wheel Cycle Trust</w:t>
      </w:r>
      <w:r w:rsidRPr="00BB338A">
        <w:rPr>
          <w:bCs/>
          <w:lang w:val="en-US"/>
        </w:rPr>
        <w:t>’</w:t>
      </w:r>
      <w:r>
        <w:rPr>
          <w:bCs/>
          <w:lang w:val="en-US"/>
        </w:rPr>
        <w:t>s</w:t>
      </w:r>
      <w:r w:rsidRPr="00BB338A">
        <w:rPr>
          <w:bCs/>
          <w:lang w:val="en-US"/>
        </w:rPr>
        <w:t xml:space="preserve"> routine timetable</w:t>
      </w:r>
    </w:p>
    <w:p w14:paraId="17BFF86B" w14:textId="77777777" w:rsidR="00BB338A" w:rsidRPr="00BB338A" w:rsidRDefault="00BB338A" w:rsidP="00BB338A">
      <w:pPr>
        <w:numPr>
          <w:ilvl w:val="0"/>
          <w:numId w:val="10"/>
        </w:numPr>
        <w:rPr>
          <w:bCs/>
          <w:lang w:val="en-US"/>
        </w:rPr>
      </w:pPr>
      <w:r w:rsidRPr="00BB338A">
        <w:rPr>
          <w:bCs/>
          <w:lang w:val="en-US"/>
        </w:rPr>
        <w:t>To work with the Finance team to ensure invoices and payments are processed promptly and that any chasing of payments is handled within our overall stewardships approach.</w:t>
      </w:r>
    </w:p>
    <w:p w14:paraId="3AA9D9E4" w14:textId="77777777" w:rsidR="00BB338A" w:rsidRPr="00BB338A" w:rsidRDefault="00BB338A" w:rsidP="00BB338A">
      <w:pPr>
        <w:rPr>
          <w:bCs/>
          <w:lang w:val="en-US"/>
        </w:rPr>
      </w:pPr>
    </w:p>
    <w:p w14:paraId="2118E270" w14:textId="77777777" w:rsidR="00BB338A" w:rsidRPr="00BB338A" w:rsidRDefault="00BB338A" w:rsidP="00BB338A">
      <w:pPr>
        <w:rPr>
          <w:b/>
          <w:bCs/>
          <w:lang w:val="en-US"/>
        </w:rPr>
      </w:pPr>
      <w:r w:rsidRPr="00BB338A">
        <w:rPr>
          <w:b/>
          <w:bCs/>
          <w:lang w:val="en-US"/>
        </w:rPr>
        <w:t>Line management:</w:t>
      </w:r>
    </w:p>
    <w:p w14:paraId="52B397A9" w14:textId="77777777" w:rsidR="00BB338A" w:rsidRPr="00BB338A" w:rsidRDefault="00BB338A" w:rsidP="00BB338A">
      <w:pPr>
        <w:numPr>
          <w:ilvl w:val="0"/>
          <w:numId w:val="10"/>
        </w:numPr>
        <w:rPr>
          <w:b/>
          <w:bCs/>
          <w:lang w:val="en-US"/>
        </w:rPr>
      </w:pPr>
      <w:r w:rsidRPr="00BB338A">
        <w:rPr>
          <w:bCs/>
          <w:lang w:val="en-US"/>
        </w:rPr>
        <w:t xml:space="preserve">To line manage, develop and support the Corporate Partnerships Officer </w:t>
      </w:r>
    </w:p>
    <w:p w14:paraId="4ECE1858" w14:textId="428BC937" w:rsidR="00BB338A" w:rsidRPr="00BB338A" w:rsidRDefault="00BB338A" w:rsidP="00BB338A">
      <w:pPr>
        <w:numPr>
          <w:ilvl w:val="0"/>
          <w:numId w:val="10"/>
        </w:numPr>
        <w:rPr>
          <w:b/>
          <w:bCs/>
          <w:lang w:val="en-US"/>
        </w:rPr>
      </w:pPr>
      <w:r w:rsidRPr="00BB338A">
        <w:rPr>
          <w:bCs/>
          <w:lang w:val="en-US"/>
        </w:rPr>
        <w:t xml:space="preserve">To ensure all management responsibilities including appraisals and objective setting are handled to </w:t>
      </w:r>
      <w:r>
        <w:rPr>
          <w:bCs/>
          <w:lang w:val="en-US"/>
        </w:rPr>
        <w:t>Walk Wheel Cycle Trust</w:t>
      </w:r>
      <w:r w:rsidRPr="00BB338A">
        <w:rPr>
          <w:bCs/>
          <w:lang w:val="en-US"/>
        </w:rPr>
        <w:t xml:space="preserve"> procedures, standards and timetables. </w:t>
      </w:r>
    </w:p>
    <w:p w14:paraId="5388BBAA" w14:textId="77777777" w:rsidR="00BB338A" w:rsidRPr="00BB338A" w:rsidRDefault="00BB338A" w:rsidP="00BB338A">
      <w:pPr>
        <w:rPr>
          <w:b/>
          <w:bCs/>
          <w:lang w:val="en-US"/>
        </w:rPr>
      </w:pPr>
    </w:p>
    <w:p w14:paraId="3F943E7A" w14:textId="77777777" w:rsidR="00BB338A" w:rsidRPr="00BB338A" w:rsidRDefault="00BB338A" w:rsidP="00BB338A">
      <w:pPr>
        <w:rPr>
          <w:b/>
          <w:bCs/>
          <w:lang w:val="en-US"/>
        </w:rPr>
      </w:pPr>
      <w:r w:rsidRPr="00BB338A">
        <w:rPr>
          <w:b/>
          <w:bCs/>
          <w:lang w:val="en-US"/>
        </w:rPr>
        <w:t xml:space="preserve">Communication and marketing: </w:t>
      </w:r>
    </w:p>
    <w:p w14:paraId="352DA05E" w14:textId="3B06821C" w:rsidR="00BB338A" w:rsidRPr="00BB338A" w:rsidRDefault="00BB338A" w:rsidP="00BB338A">
      <w:pPr>
        <w:numPr>
          <w:ilvl w:val="0"/>
          <w:numId w:val="11"/>
        </w:numPr>
      </w:pPr>
      <w:r w:rsidRPr="00BB338A">
        <w:t xml:space="preserve">To support and comply with the charity’s guidance on branding, tone of voice and key messages, positively contributing towards raising </w:t>
      </w:r>
      <w:r>
        <w:t>Walk Wheel Cycle Trust</w:t>
      </w:r>
      <w:r w:rsidRPr="00BB338A">
        <w:t>’</w:t>
      </w:r>
      <w:r>
        <w:t>s</w:t>
      </w:r>
      <w:r w:rsidRPr="00BB338A">
        <w:t xml:space="preserve"> profile.  </w:t>
      </w:r>
    </w:p>
    <w:p w14:paraId="326E0C04" w14:textId="77777777" w:rsidR="00BB338A" w:rsidRPr="00BB338A" w:rsidRDefault="00BB338A" w:rsidP="00BB338A">
      <w:pPr>
        <w:rPr>
          <w:b/>
          <w:bCs/>
          <w:lang w:val="en-US"/>
        </w:rPr>
      </w:pPr>
    </w:p>
    <w:p w14:paraId="42CFD570" w14:textId="77777777" w:rsidR="00BB338A" w:rsidRPr="00BB338A" w:rsidRDefault="00BB338A" w:rsidP="00BB338A">
      <w:pPr>
        <w:rPr>
          <w:b/>
          <w:bCs/>
          <w:lang w:val="en-US"/>
        </w:rPr>
      </w:pPr>
      <w:r w:rsidRPr="00BB338A">
        <w:rPr>
          <w:b/>
          <w:bCs/>
          <w:lang w:val="en-US"/>
        </w:rPr>
        <w:t>Training and personal development:</w:t>
      </w:r>
    </w:p>
    <w:p w14:paraId="3A3BF750" w14:textId="7FE55458" w:rsidR="00BB338A" w:rsidRPr="00BB338A" w:rsidRDefault="00BB338A" w:rsidP="00BB338A">
      <w:pPr>
        <w:numPr>
          <w:ilvl w:val="0"/>
          <w:numId w:val="12"/>
        </w:numPr>
      </w:pPr>
      <w:r w:rsidRPr="00BB338A">
        <w:t xml:space="preserve">To attend essential </w:t>
      </w:r>
      <w:r>
        <w:t>Walk Wheel Cycle Trust</w:t>
      </w:r>
      <w:r w:rsidRPr="00BB338A">
        <w:t xml:space="preserve"> training as required by the Charity</w:t>
      </w:r>
    </w:p>
    <w:p w14:paraId="298B98CC" w14:textId="77777777" w:rsidR="00BB338A" w:rsidRPr="00BB338A" w:rsidRDefault="00BB338A" w:rsidP="00BB338A">
      <w:pPr>
        <w:numPr>
          <w:ilvl w:val="0"/>
          <w:numId w:val="12"/>
        </w:numPr>
      </w:pPr>
      <w:r w:rsidRPr="00BB338A">
        <w:lastRenderedPageBreak/>
        <w:t>To ensure own personal development by working to objectives set as part of the Charity’s appraisal process.</w:t>
      </w:r>
    </w:p>
    <w:p w14:paraId="6B7190B1" w14:textId="77777777" w:rsidR="00BB338A" w:rsidRPr="00BB338A" w:rsidRDefault="00BB338A" w:rsidP="00BB338A">
      <w:pPr>
        <w:rPr>
          <w:lang w:val="en-US"/>
        </w:rPr>
      </w:pPr>
    </w:p>
    <w:p w14:paraId="7EC8B42F" w14:textId="77777777" w:rsidR="00BB338A" w:rsidRPr="00BB338A" w:rsidRDefault="00BB338A" w:rsidP="00BB338A">
      <w:pPr>
        <w:rPr>
          <w:b/>
          <w:bCs/>
          <w:lang w:val="en-US"/>
        </w:rPr>
      </w:pPr>
      <w:r w:rsidRPr="00BB338A">
        <w:rPr>
          <w:b/>
          <w:bCs/>
          <w:lang w:val="en-US"/>
        </w:rPr>
        <w:t>Health &amp; Safety, Safeguarding and Equality, Diversity and Inclusion:</w:t>
      </w:r>
    </w:p>
    <w:p w14:paraId="74B55FD7" w14:textId="77777777" w:rsidR="00BB338A" w:rsidRPr="00BB338A" w:rsidRDefault="00BB338A" w:rsidP="00BB338A">
      <w:pPr>
        <w:numPr>
          <w:ilvl w:val="0"/>
          <w:numId w:val="13"/>
        </w:numPr>
        <w:rPr>
          <w:bCs/>
          <w:lang w:val="en-US"/>
        </w:rPr>
      </w:pPr>
      <w:r w:rsidRPr="00BB338A">
        <w:rPr>
          <w:bCs/>
          <w:lang w:val="en-US"/>
        </w:rPr>
        <w:t>To support and comply with the organisation’s policy for the management of Health and Safety.</w:t>
      </w:r>
    </w:p>
    <w:p w14:paraId="6D2AA32E" w14:textId="77777777" w:rsidR="00BB338A" w:rsidRPr="00BB338A" w:rsidRDefault="00BB338A" w:rsidP="00BB338A">
      <w:pPr>
        <w:numPr>
          <w:ilvl w:val="0"/>
          <w:numId w:val="13"/>
        </w:numPr>
        <w:rPr>
          <w:bCs/>
          <w:lang w:val="en-US"/>
        </w:rPr>
      </w:pPr>
      <w:r w:rsidRPr="00BB338A">
        <w:rPr>
          <w:bCs/>
          <w:lang w:val="en-US"/>
        </w:rPr>
        <w:t>To support and comply with the organisation’s policies for the management of safeguarding.</w:t>
      </w:r>
    </w:p>
    <w:p w14:paraId="17C30117" w14:textId="77777777" w:rsidR="00BB338A" w:rsidRPr="00BB338A" w:rsidRDefault="00BB338A" w:rsidP="00BB338A">
      <w:pPr>
        <w:numPr>
          <w:ilvl w:val="0"/>
          <w:numId w:val="13"/>
        </w:numPr>
        <w:rPr>
          <w:lang w:val="en-US"/>
        </w:rPr>
      </w:pPr>
      <w:r w:rsidRPr="00BB338A">
        <w:rPr>
          <w:bCs/>
          <w:lang w:val="en-US"/>
        </w:rPr>
        <w:t>To support and comply with the organisation’s policy and procedures relating to Equality, Diversity and Inclusion and apply principles of best practice in own role.</w:t>
      </w:r>
    </w:p>
    <w:p w14:paraId="2F0DA00E" w14:textId="77777777" w:rsidR="00BB338A" w:rsidRPr="00BB338A" w:rsidRDefault="00BB338A" w:rsidP="00BB338A">
      <w:pPr>
        <w:rPr>
          <w:b/>
        </w:rPr>
      </w:pPr>
    </w:p>
    <w:p w14:paraId="38C2049D" w14:textId="77777777" w:rsidR="00BB338A" w:rsidRPr="00BB338A" w:rsidRDefault="00BB338A" w:rsidP="00BB338A">
      <w:pPr>
        <w:rPr>
          <w:b/>
        </w:rPr>
      </w:pPr>
      <w:r w:rsidRPr="00BB338A">
        <w:rPr>
          <w:b/>
        </w:rPr>
        <w:t>Other:</w:t>
      </w:r>
    </w:p>
    <w:p w14:paraId="0637D879" w14:textId="77777777" w:rsidR="00BB338A" w:rsidRPr="00BB338A" w:rsidRDefault="00BB338A" w:rsidP="00BB338A">
      <w:pPr>
        <w:numPr>
          <w:ilvl w:val="0"/>
          <w:numId w:val="9"/>
        </w:numPr>
      </w:pPr>
      <w:r w:rsidRPr="00BB338A">
        <w:t>To keep the charity’s customer relationship management (CRM) and other internal information management systems up to date.</w:t>
      </w:r>
    </w:p>
    <w:p w14:paraId="277860D7" w14:textId="77777777" w:rsidR="00BB338A" w:rsidRPr="00BB338A" w:rsidRDefault="00BB338A" w:rsidP="00BB338A">
      <w:pPr>
        <w:numPr>
          <w:ilvl w:val="0"/>
          <w:numId w:val="9"/>
        </w:numPr>
      </w:pPr>
      <w:r w:rsidRPr="00BB338A">
        <w:t>To ensure that activities comply fully with relevant aspects of Fundraising Regulator Code of Practice, relevant Data Protection and any other legislation.</w:t>
      </w:r>
    </w:p>
    <w:p w14:paraId="5027EB80" w14:textId="03BA4E55" w:rsidR="00BB338A" w:rsidRPr="00BB338A" w:rsidRDefault="00BB338A" w:rsidP="00BB338A">
      <w:pPr>
        <w:numPr>
          <w:ilvl w:val="0"/>
          <w:numId w:val="9"/>
        </w:numPr>
      </w:pPr>
      <w:r w:rsidRPr="00BB338A">
        <w:t>To keep abreast of broad sector trends and the latest thinking and oversee research of competitor corporate activity and the latest commercial/marketing trends to ensure that our Corporate Partnership strategy maximise all opportunities</w:t>
      </w:r>
    </w:p>
    <w:p w14:paraId="648AA617" w14:textId="0FD6CD42" w:rsidR="00BB338A" w:rsidRDefault="00BB338A" w:rsidP="00BB338A">
      <w:pPr>
        <w:numPr>
          <w:ilvl w:val="0"/>
          <w:numId w:val="9"/>
        </w:numPr>
      </w:pPr>
      <w:r w:rsidRPr="00BB338A">
        <w:t>To perform any other duties consistent with the nature and grade of the role as agreed with the line manager.</w:t>
      </w:r>
    </w:p>
    <w:p w14:paraId="44F0C17C" w14:textId="77777777" w:rsidR="00BB338A" w:rsidRDefault="00BB338A" w:rsidP="00BB338A"/>
    <w:p w14:paraId="7EC2D183" w14:textId="77777777" w:rsidR="00BB338A" w:rsidRDefault="00BB338A" w:rsidP="00BB338A"/>
    <w:p w14:paraId="181214CA" w14:textId="77777777" w:rsidR="00BB338A" w:rsidRPr="00BB338A" w:rsidRDefault="00BB338A" w:rsidP="00BB338A"/>
    <w:p w14:paraId="72FD1DCA" w14:textId="77777777" w:rsidR="00BB338A" w:rsidRPr="00BB338A" w:rsidRDefault="00BB338A" w:rsidP="00BB338A"/>
    <w:p w14:paraId="042341C4" w14:textId="77777777" w:rsidR="008D63E7" w:rsidRDefault="008D63E7" w:rsidP="00C77DE0">
      <w:pPr>
        <w:pStyle w:val="Heading1"/>
        <w:tabs>
          <w:tab w:val="left" w:pos="7980"/>
        </w:tabs>
      </w:pPr>
      <w:r>
        <w:lastRenderedPageBreak/>
        <w:t>Person specification</w:t>
      </w:r>
    </w:p>
    <w:p w14:paraId="579EA962" w14:textId="77777777" w:rsidR="008D63E7" w:rsidRDefault="008D63E7" w:rsidP="008D63E7">
      <w:pPr>
        <w:pStyle w:val="Heading2"/>
      </w:pPr>
      <w:r>
        <w:t>Specific qualifications or experience required</w:t>
      </w:r>
    </w:p>
    <w:p w14:paraId="4557707A" w14:textId="77777777" w:rsidR="00BB338A" w:rsidRPr="00BB338A" w:rsidRDefault="00BB338A" w:rsidP="00BB338A">
      <w:pPr>
        <w:pStyle w:val="Rules"/>
        <w:numPr>
          <w:ilvl w:val="0"/>
          <w:numId w:val="9"/>
        </w:numPr>
        <w:pBdr>
          <w:bottom w:val="none" w:sz="0" w:space="0" w:color="auto"/>
        </w:pBdr>
        <w:spacing w:before="0" w:after="0" w:line="240" w:lineRule="auto"/>
        <w:rPr>
          <w:rFonts w:ascii="Avenir Next LT Pro" w:eastAsia="Aptos" w:hAnsi="Avenir Next LT Pro"/>
          <w:color w:val="3C3C3B"/>
          <w:kern w:val="2"/>
          <w:sz w:val="28"/>
          <w:szCs w:val="28"/>
        </w:rPr>
      </w:pPr>
      <w:r w:rsidRPr="00BB338A">
        <w:rPr>
          <w:rFonts w:ascii="Avenir Next LT Pro" w:eastAsia="Aptos" w:hAnsi="Avenir Next LT Pro"/>
          <w:color w:val="3C3C3B"/>
          <w:kern w:val="2"/>
          <w:sz w:val="28"/>
          <w:szCs w:val="28"/>
        </w:rPr>
        <w:t>A professional qualification in fundraising</w:t>
      </w:r>
    </w:p>
    <w:p w14:paraId="6742A40D" w14:textId="77777777" w:rsidR="00BB338A" w:rsidRDefault="00BB338A" w:rsidP="00BB338A">
      <w:pPr>
        <w:ind w:left="720"/>
      </w:pPr>
    </w:p>
    <w:p w14:paraId="04FCEB39" w14:textId="60A64F72" w:rsidR="00BB338A" w:rsidRPr="00BB338A" w:rsidRDefault="00BB338A" w:rsidP="00BB338A">
      <w:pPr>
        <w:numPr>
          <w:ilvl w:val="0"/>
          <w:numId w:val="9"/>
        </w:numPr>
      </w:pPr>
      <w:r w:rsidRPr="00BB338A">
        <w:t>Experience of developing and delivering a Corporate Partnerships strategy including developing propositions and products for specific sectors</w:t>
      </w:r>
    </w:p>
    <w:p w14:paraId="75D8946A" w14:textId="77777777" w:rsidR="00BB338A" w:rsidRPr="00BB338A" w:rsidRDefault="00BB338A" w:rsidP="00BB338A">
      <w:pPr>
        <w:numPr>
          <w:ilvl w:val="0"/>
          <w:numId w:val="9"/>
        </w:numPr>
      </w:pPr>
      <w:r w:rsidRPr="00BB338A">
        <w:t>Experience of identifying and researching corporate prospects</w:t>
      </w:r>
    </w:p>
    <w:p w14:paraId="10C294E1" w14:textId="77777777" w:rsidR="00BB338A" w:rsidRPr="00BB338A" w:rsidRDefault="00BB338A" w:rsidP="00BB338A">
      <w:pPr>
        <w:numPr>
          <w:ilvl w:val="0"/>
          <w:numId w:val="9"/>
        </w:numPr>
      </w:pPr>
      <w:r w:rsidRPr="00BB338A">
        <w:t>Experience of networking effectively to build relationships and win corporate support</w:t>
      </w:r>
    </w:p>
    <w:p w14:paraId="13D644A6" w14:textId="77777777" w:rsidR="00BB338A" w:rsidRPr="00BB338A" w:rsidRDefault="00BB338A" w:rsidP="00BB338A">
      <w:pPr>
        <w:numPr>
          <w:ilvl w:val="0"/>
          <w:numId w:val="9"/>
        </w:numPr>
      </w:pPr>
      <w:r w:rsidRPr="00BB338A">
        <w:t xml:space="preserve">Demonstrable experience of managing complex relationships and working with senior people </w:t>
      </w:r>
    </w:p>
    <w:p w14:paraId="1E143DAB" w14:textId="77777777" w:rsidR="00BB338A" w:rsidRPr="00BB338A" w:rsidRDefault="00BB338A" w:rsidP="00BB338A">
      <w:pPr>
        <w:numPr>
          <w:ilvl w:val="0"/>
          <w:numId w:val="9"/>
        </w:numPr>
      </w:pPr>
      <w:r w:rsidRPr="00BB338A">
        <w:t>Proven track record of securing corporate new business including 5-6 figure income from a range of corporate income streams</w:t>
      </w:r>
    </w:p>
    <w:p w14:paraId="098E86CA" w14:textId="77777777" w:rsidR="00BB338A" w:rsidRPr="00BB338A" w:rsidRDefault="00BB338A" w:rsidP="00BB338A">
      <w:pPr>
        <w:numPr>
          <w:ilvl w:val="0"/>
          <w:numId w:val="9"/>
        </w:numPr>
      </w:pPr>
      <w:r w:rsidRPr="00BB338A">
        <w:t xml:space="preserve">Proven experience of monitoring and reporting project expenditure </w:t>
      </w:r>
    </w:p>
    <w:p w14:paraId="22F3CA6D" w14:textId="77777777" w:rsidR="00BB338A" w:rsidRPr="00BB338A" w:rsidRDefault="00BB338A" w:rsidP="00BB338A">
      <w:pPr>
        <w:ind w:left="720"/>
      </w:pPr>
    </w:p>
    <w:p w14:paraId="718CF2A0" w14:textId="77777777" w:rsidR="008D63E7" w:rsidRDefault="008D63E7" w:rsidP="008D63E7">
      <w:pPr>
        <w:pStyle w:val="Heading2"/>
      </w:pPr>
      <w:r>
        <w:t>Specific/technical knowledge required</w:t>
      </w:r>
    </w:p>
    <w:p w14:paraId="2D617BDC" w14:textId="77777777" w:rsidR="00BB338A" w:rsidRPr="00BB338A" w:rsidRDefault="00BB338A" w:rsidP="00BB338A">
      <w:pPr>
        <w:pStyle w:val="ListParagraph"/>
        <w:numPr>
          <w:ilvl w:val="0"/>
          <w:numId w:val="6"/>
        </w:numPr>
      </w:pPr>
      <w:r w:rsidRPr="00BB338A">
        <w:t>Knowledge of corporate partnerships fundraising sector trends</w:t>
      </w:r>
    </w:p>
    <w:p w14:paraId="0FD980C4" w14:textId="77777777" w:rsidR="00BB338A" w:rsidRPr="00BB338A" w:rsidRDefault="00BB338A" w:rsidP="00BB338A">
      <w:pPr>
        <w:pStyle w:val="ListParagraph"/>
        <w:numPr>
          <w:ilvl w:val="0"/>
          <w:numId w:val="6"/>
        </w:numPr>
      </w:pPr>
      <w:r w:rsidRPr="00BB338A">
        <w:t>Knowledge of sources of corporate giving information</w:t>
      </w:r>
    </w:p>
    <w:p w14:paraId="262D8A83" w14:textId="77777777" w:rsidR="00BB338A" w:rsidRPr="00BB338A" w:rsidRDefault="00BB338A" w:rsidP="00BB338A">
      <w:pPr>
        <w:pStyle w:val="ListParagraph"/>
        <w:numPr>
          <w:ilvl w:val="0"/>
          <w:numId w:val="6"/>
        </w:numPr>
      </w:pPr>
      <w:r w:rsidRPr="00BB338A">
        <w:t>Knowledge of Fundraising Regulator codes of practice</w:t>
      </w:r>
    </w:p>
    <w:p w14:paraId="3C279CFB" w14:textId="77777777" w:rsidR="00BB338A" w:rsidRDefault="00BB338A" w:rsidP="00BB338A">
      <w:pPr>
        <w:pStyle w:val="ListParagraph"/>
        <w:numPr>
          <w:ilvl w:val="0"/>
          <w:numId w:val="6"/>
        </w:numPr>
      </w:pPr>
      <w:r w:rsidRPr="00BB338A">
        <w:t>Understanding of marketing, PR and brand management</w:t>
      </w:r>
    </w:p>
    <w:p w14:paraId="5A6E848B" w14:textId="77777777" w:rsidR="00BB338A" w:rsidRPr="00BB338A" w:rsidRDefault="00BB338A" w:rsidP="00BB338A">
      <w:pPr>
        <w:pStyle w:val="ListParagraph"/>
        <w:numPr>
          <w:ilvl w:val="0"/>
          <w:numId w:val="6"/>
        </w:numPr>
      </w:pPr>
      <w:r w:rsidRPr="00BB338A">
        <w:t>Knowledge of environmental and/or public health issues, especially in relation to transport policy</w:t>
      </w:r>
    </w:p>
    <w:p w14:paraId="05D8E43E" w14:textId="77777777" w:rsidR="00BB338A" w:rsidRPr="00BB338A" w:rsidRDefault="00BB338A" w:rsidP="00BB338A"/>
    <w:p w14:paraId="4AC156A2" w14:textId="77777777" w:rsidR="008D63E7" w:rsidRDefault="008D63E7" w:rsidP="008D63E7">
      <w:pPr>
        <w:pStyle w:val="Heading2"/>
      </w:pPr>
      <w:r>
        <w:t>Skills and abilities</w:t>
      </w:r>
    </w:p>
    <w:p w14:paraId="6CB691CB" w14:textId="77777777" w:rsidR="00BB338A" w:rsidRPr="00BB338A" w:rsidRDefault="00BB338A" w:rsidP="00BB338A">
      <w:pPr>
        <w:pStyle w:val="ListParagraph"/>
        <w:numPr>
          <w:ilvl w:val="0"/>
          <w:numId w:val="6"/>
        </w:numPr>
      </w:pPr>
      <w:r w:rsidRPr="00BB338A">
        <w:t>Excellent written and verbal communication skills</w:t>
      </w:r>
    </w:p>
    <w:p w14:paraId="33040E89" w14:textId="77777777" w:rsidR="00BB338A" w:rsidRPr="00BB338A" w:rsidRDefault="00BB338A" w:rsidP="00BB338A">
      <w:pPr>
        <w:pStyle w:val="ListParagraph"/>
        <w:numPr>
          <w:ilvl w:val="0"/>
          <w:numId w:val="6"/>
        </w:numPr>
      </w:pPr>
      <w:r w:rsidRPr="00BB338A">
        <w:t>Ability to build and maintain strong strategic relationships</w:t>
      </w:r>
    </w:p>
    <w:p w14:paraId="3DAE65ED" w14:textId="77777777" w:rsidR="00BB338A" w:rsidRPr="00BB338A" w:rsidRDefault="00BB338A" w:rsidP="00BB338A">
      <w:pPr>
        <w:pStyle w:val="ListParagraph"/>
        <w:numPr>
          <w:ilvl w:val="0"/>
          <w:numId w:val="6"/>
        </w:numPr>
      </w:pPr>
      <w:r w:rsidRPr="00BB338A">
        <w:t>Excellent influencing and negotiating skills</w:t>
      </w:r>
    </w:p>
    <w:p w14:paraId="66890BDD" w14:textId="77777777" w:rsidR="00BB338A" w:rsidRPr="00BB338A" w:rsidRDefault="00BB338A" w:rsidP="00BB338A">
      <w:pPr>
        <w:pStyle w:val="ListParagraph"/>
        <w:numPr>
          <w:ilvl w:val="0"/>
          <w:numId w:val="6"/>
        </w:numPr>
      </w:pPr>
      <w:r w:rsidRPr="00BB338A">
        <w:t>Excellent analytical skills</w:t>
      </w:r>
    </w:p>
    <w:p w14:paraId="3299042A" w14:textId="77777777" w:rsidR="00BB338A" w:rsidRPr="00BB338A" w:rsidRDefault="00BB338A" w:rsidP="00BB338A">
      <w:pPr>
        <w:pStyle w:val="ListParagraph"/>
        <w:numPr>
          <w:ilvl w:val="0"/>
          <w:numId w:val="6"/>
        </w:numPr>
      </w:pPr>
      <w:r w:rsidRPr="00BB338A">
        <w:t>Time management skills – ability to prioritise a busy workload while ensuring targets are met</w:t>
      </w:r>
    </w:p>
    <w:p w14:paraId="334181CC" w14:textId="77777777" w:rsidR="00BB338A" w:rsidRPr="00BB338A" w:rsidRDefault="00BB338A" w:rsidP="00BB338A">
      <w:pPr>
        <w:pStyle w:val="ListParagraph"/>
        <w:numPr>
          <w:ilvl w:val="0"/>
          <w:numId w:val="6"/>
        </w:numPr>
      </w:pPr>
      <w:r w:rsidRPr="00BB338A">
        <w:t xml:space="preserve">The ability to work creatively with others on the development of new business ideas </w:t>
      </w:r>
    </w:p>
    <w:p w14:paraId="731D2DF9" w14:textId="77777777" w:rsidR="00BB338A" w:rsidRPr="00BB338A" w:rsidRDefault="00BB338A" w:rsidP="00BB338A">
      <w:pPr>
        <w:pStyle w:val="ListParagraph"/>
        <w:numPr>
          <w:ilvl w:val="0"/>
          <w:numId w:val="6"/>
        </w:numPr>
      </w:pPr>
      <w:r w:rsidRPr="00BB338A">
        <w:t>Ability to keep up to date with new developments in relevant business sectors</w:t>
      </w:r>
    </w:p>
    <w:p w14:paraId="41799282" w14:textId="77777777" w:rsidR="00BB338A" w:rsidRPr="00BB338A" w:rsidRDefault="00BB338A" w:rsidP="00BB338A">
      <w:pPr>
        <w:pStyle w:val="ListParagraph"/>
        <w:numPr>
          <w:ilvl w:val="0"/>
          <w:numId w:val="6"/>
        </w:numPr>
      </w:pPr>
      <w:r w:rsidRPr="00BB338A">
        <w:t>Meticulous attention to detail and reporting skills</w:t>
      </w:r>
    </w:p>
    <w:p w14:paraId="6FF6522D" w14:textId="77777777" w:rsidR="00BB338A" w:rsidRPr="00BB338A" w:rsidRDefault="00BB338A" w:rsidP="00BB338A">
      <w:pPr>
        <w:pStyle w:val="ListParagraph"/>
        <w:numPr>
          <w:ilvl w:val="0"/>
          <w:numId w:val="6"/>
        </w:numPr>
      </w:pPr>
      <w:r w:rsidRPr="00BB338A">
        <w:t>Excellent IT skills</w:t>
      </w:r>
    </w:p>
    <w:p w14:paraId="579A752C" w14:textId="77777777" w:rsidR="00BB338A" w:rsidRPr="00BB338A" w:rsidRDefault="00BB338A" w:rsidP="00BB338A">
      <w:pPr>
        <w:pStyle w:val="ListParagraph"/>
        <w:numPr>
          <w:ilvl w:val="0"/>
          <w:numId w:val="0"/>
        </w:numPr>
        <w:ind w:left="360"/>
      </w:pPr>
    </w:p>
    <w:p w14:paraId="471EDE2A" w14:textId="77777777" w:rsidR="003163FB" w:rsidRDefault="003163FB" w:rsidP="008D63E7">
      <w:pPr>
        <w:adjustRightInd/>
        <w:snapToGrid/>
        <w:spacing w:after="0"/>
      </w:pPr>
    </w:p>
    <w:p w14:paraId="063DC076"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0A0D221F" w14:textId="77777777" w:rsidR="00C77DE0" w:rsidRDefault="00C77DE0" w:rsidP="00C77DE0">
      <w:pPr>
        <w:adjustRightInd/>
        <w:snapToGrid/>
        <w:spacing w:after="0"/>
        <w:rPr>
          <w:sz w:val="21"/>
          <w:szCs w:val="21"/>
        </w:rPr>
      </w:pPr>
    </w:p>
    <w:p w14:paraId="34E2BC08" w14:textId="77777777" w:rsidR="00C77DE0" w:rsidRDefault="00C77DE0" w:rsidP="00C77DE0">
      <w:pPr>
        <w:adjustRightInd/>
        <w:snapToGrid/>
        <w:spacing w:after="0"/>
        <w:rPr>
          <w:sz w:val="21"/>
          <w:szCs w:val="21"/>
        </w:rPr>
        <w:sectPr w:rsidR="00C77DE0" w:rsidSect="00967ADD">
          <w:headerReference w:type="default" r:id="rId13"/>
          <w:pgSz w:w="11906" w:h="16838"/>
          <w:pgMar w:top="660" w:right="794" w:bottom="794" w:left="1134" w:header="403" w:footer="755" w:gutter="0"/>
          <w:cols w:space="720"/>
          <w:noEndnote/>
          <w:docGrid w:linePitch="381"/>
        </w:sectPr>
      </w:pPr>
    </w:p>
    <w:p w14:paraId="79543E4B" w14:textId="77777777" w:rsidR="00041485" w:rsidRDefault="00CC070A" w:rsidP="00C77DE0">
      <w:pPr>
        <w:spacing w:before="1200"/>
      </w:pPr>
      <w:r w:rsidRPr="00CC070A">
        <w:lastRenderedPageBreak/>
        <w:t>We make it possible for everyone to walk, wheel and cycle.</w:t>
      </w:r>
    </w:p>
    <w:p w14:paraId="2FE6B6B6" w14:textId="77777777" w:rsidR="00041485" w:rsidRDefault="00CC070A" w:rsidP="00041485">
      <w:r w:rsidRPr="00CC070A">
        <w:t>Because it changes everything. Our health. Our wellbeing. Our world</w:t>
      </w:r>
      <w:r w:rsidR="00C77DE0">
        <w:t>.</w:t>
      </w:r>
    </w:p>
    <w:p w14:paraId="40FC3A83" w14:textId="77777777" w:rsidR="00C77DE0" w:rsidRPr="00041485" w:rsidRDefault="00CC070A" w:rsidP="00041485">
      <w:hyperlink r:id="rId14" w:history="1">
        <w:r w:rsidRPr="002C739F">
          <w:rPr>
            <w:rStyle w:val="Hyperlink"/>
          </w:rPr>
          <w:t>www.walkwheelcycletrust.org.uk</w:t>
        </w:r>
      </w:hyperlink>
      <w:r>
        <w:t xml:space="preserve"> </w:t>
      </w:r>
    </w:p>
    <w:sectPr w:rsidR="00C77DE0" w:rsidRPr="00041485" w:rsidSect="00967ADD">
      <w:headerReference w:type="default" r:id="rId15"/>
      <w:footerReference w:type="default" r:id="rId16"/>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2766" w14:textId="77777777" w:rsidR="00591901" w:rsidRDefault="00591901" w:rsidP="00265BE7">
      <w:r>
        <w:separator/>
      </w:r>
    </w:p>
  </w:endnote>
  <w:endnote w:type="continuationSeparator" w:id="0">
    <w:p w14:paraId="7451E0B8" w14:textId="77777777" w:rsidR="00591901" w:rsidRDefault="0059190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BMWTypeLight">
    <w:altName w:val="Arial"/>
    <w:charset w:val="00"/>
    <w:family w:val="swiss"/>
    <w:pitch w:val="variable"/>
    <w:sig w:usb0="8000002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113"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5CE0676E"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27ECC346"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410C25E1"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8678" w14:textId="77777777" w:rsidR="00591901" w:rsidRDefault="00591901" w:rsidP="00265BE7">
      <w:r>
        <w:separator/>
      </w:r>
    </w:p>
  </w:footnote>
  <w:footnote w:type="continuationSeparator" w:id="0">
    <w:p w14:paraId="69C5BB4A" w14:textId="77777777" w:rsidR="00591901" w:rsidRDefault="0059190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D356" w14:textId="77777777" w:rsidR="0047542E" w:rsidRPr="00834631" w:rsidRDefault="0047542E" w:rsidP="0083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505C" w14:textId="330C6366" w:rsidR="00C77DE0" w:rsidRPr="00834631" w:rsidRDefault="00BB338A" w:rsidP="00C77DE0">
    <w:pPr>
      <w:pStyle w:val="Header"/>
    </w:pPr>
    <w:r>
      <w:rPr>
        <w:noProof/>
      </w:rPr>
      <w:drawing>
        <wp:anchor distT="0" distB="0" distL="114300" distR="114300" simplePos="0" relativeHeight="251659264" behindDoc="1" locked="0" layoutInCell="1" allowOverlap="1" wp14:anchorId="4ADB9CAE" wp14:editId="2C96DF97">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168C76" wp14:editId="66D5753E">
          <wp:simplePos x="0" y="0"/>
          <wp:positionH relativeFrom="column">
            <wp:posOffset>3312160</wp:posOffset>
          </wp:positionH>
          <wp:positionV relativeFrom="paragraph">
            <wp:posOffset>17780</wp:posOffset>
          </wp:positionV>
          <wp:extent cx="3214370" cy="1043940"/>
          <wp:effectExtent l="0" t="0" r="0" b="0"/>
          <wp:wrapNone/>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ECC37"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A04B4"/>
    <w:multiLevelType w:val="hybridMultilevel"/>
    <w:tmpl w:val="3F12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70D97"/>
    <w:multiLevelType w:val="hybridMultilevel"/>
    <w:tmpl w:val="294A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F3164"/>
    <w:multiLevelType w:val="hybridMultilevel"/>
    <w:tmpl w:val="31A28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26DDF"/>
    <w:multiLevelType w:val="hybridMultilevel"/>
    <w:tmpl w:val="A498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3138B"/>
    <w:multiLevelType w:val="hybridMultilevel"/>
    <w:tmpl w:val="BC1E622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7F73D3E"/>
    <w:multiLevelType w:val="hybridMultilevel"/>
    <w:tmpl w:val="4544BAE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42F3D"/>
    <w:multiLevelType w:val="hybridMultilevel"/>
    <w:tmpl w:val="DA860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3F6312"/>
    <w:multiLevelType w:val="hybridMultilevel"/>
    <w:tmpl w:val="E976EBA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11473423">
    <w:abstractNumId w:val="3"/>
  </w:num>
  <w:num w:numId="2" w16cid:durableId="19016240">
    <w:abstractNumId w:val="2"/>
  </w:num>
  <w:num w:numId="3" w16cid:durableId="819426292">
    <w:abstractNumId w:val="7"/>
  </w:num>
  <w:num w:numId="4" w16cid:durableId="538979570">
    <w:abstractNumId w:val="14"/>
  </w:num>
  <w:num w:numId="5" w16cid:durableId="2026242880">
    <w:abstractNumId w:val="11"/>
  </w:num>
  <w:num w:numId="6" w16cid:durableId="1735394325">
    <w:abstractNumId w:val="12"/>
  </w:num>
  <w:num w:numId="7" w16cid:durableId="1307860523">
    <w:abstractNumId w:val="0"/>
  </w:num>
  <w:num w:numId="8" w16cid:durableId="1951933262">
    <w:abstractNumId w:val="1"/>
  </w:num>
  <w:num w:numId="9" w16cid:durableId="6520075">
    <w:abstractNumId w:val="13"/>
    <w:lvlOverride w:ilvl="0"/>
    <w:lvlOverride w:ilvl="1"/>
    <w:lvlOverride w:ilvl="2"/>
    <w:lvlOverride w:ilvl="3"/>
    <w:lvlOverride w:ilvl="4"/>
    <w:lvlOverride w:ilvl="5"/>
    <w:lvlOverride w:ilvl="6"/>
    <w:lvlOverride w:ilvl="7"/>
    <w:lvlOverride w:ilvl="8"/>
  </w:num>
  <w:num w:numId="10" w16cid:durableId="1158960003">
    <w:abstractNumId w:val="6"/>
    <w:lvlOverride w:ilvl="0"/>
    <w:lvlOverride w:ilvl="1"/>
    <w:lvlOverride w:ilvl="2"/>
    <w:lvlOverride w:ilvl="3"/>
    <w:lvlOverride w:ilvl="4"/>
    <w:lvlOverride w:ilvl="5"/>
    <w:lvlOverride w:ilvl="6"/>
    <w:lvlOverride w:ilvl="7"/>
    <w:lvlOverride w:ilvl="8"/>
  </w:num>
  <w:num w:numId="11" w16cid:durableId="394053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7366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21234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267449">
    <w:abstractNumId w:val="5"/>
  </w:num>
  <w:num w:numId="15" w16cid:durableId="348679489">
    <w:abstractNumId w:val="8"/>
  </w:num>
  <w:num w:numId="16" w16cid:durableId="486022068">
    <w:abstractNumId w:val="2"/>
  </w:num>
  <w:num w:numId="17" w16cid:durableId="1724677535">
    <w:abstractNumId w:val="2"/>
  </w:num>
  <w:num w:numId="18" w16cid:durableId="1126389682">
    <w:abstractNumId w:val="4"/>
  </w:num>
  <w:num w:numId="19" w16cid:durableId="5120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A"/>
    <w:rsid w:val="000356F0"/>
    <w:rsid w:val="00041485"/>
    <w:rsid w:val="00074839"/>
    <w:rsid w:val="00076566"/>
    <w:rsid w:val="000C3102"/>
    <w:rsid w:val="00100C0C"/>
    <w:rsid w:val="00125A18"/>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91901"/>
    <w:rsid w:val="005A6FE4"/>
    <w:rsid w:val="005B27EA"/>
    <w:rsid w:val="005C43CC"/>
    <w:rsid w:val="00652790"/>
    <w:rsid w:val="00667CE5"/>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B338A"/>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B15"/>
    <w:rsid w:val="00E03283"/>
    <w:rsid w:val="00E071CD"/>
    <w:rsid w:val="00E71DE9"/>
    <w:rsid w:val="00E87A25"/>
    <w:rsid w:val="00EB0B2E"/>
    <w:rsid w:val="00EB2A43"/>
    <w:rsid w:val="00EC0BF5"/>
    <w:rsid w:val="00F07095"/>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D373"/>
  <w15:chartTrackingRefBased/>
  <w15:docId w15:val="{3F2B75F5-E174-4BBB-8480-E6B326B2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Rules">
    <w:name w:val="Rules"/>
    <w:basedOn w:val="Normal"/>
    <w:rsid w:val="00BB338A"/>
    <w:pPr>
      <w:pBdr>
        <w:bottom w:val="single" w:sz="4" w:space="8" w:color="808080"/>
      </w:pBdr>
      <w:adjustRightInd/>
      <w:snapToGrid/>
      <w:spacing w:before="120" w:after="230" w:line="270" w:lineRule="atLeast"/>
    </w:pPr>
    <w:rPr>
      <w:rFonts w:ascii="BMWTypeLight" w:eastAsia="Times New Roman" w:hAnsi="BMWTypeLight"/>
      <w:color w:val="auto"/>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61A3C-AD2A-48FA-A90E-A70604C3511E}">
  <ds:schemaRefs>
    <ds:schemaRef ds:uri="http://schemas.microsoft.com/sharepoint/v3/contenttype/forms"/>
  </ds:schemaRefs>
</ds:datastoreItem>
</file>

<file path=customXml/itemProps2.xml><?xml version="1.0" encoding="utf-8"?>
<ds:datastoreItem xmlns:ds="http://schemas.openxmlformats.org/officeDocument/2006/customXml" ds:itemID="{2C000B9C-FA34-4034-B5DA-5B5513F20504}">
  <ds:schemaRefs>
    <ds:schemaRef ds:uri="Microsoft.SharePoint.Taxonomy.ContentTypeSync"/>
  </ds:schemaRefs>
</ds:datastoreItem>
</file>

<file path=customXml/itemProps3.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4.xml><?xml version="1.0" encoding="utf-8"?>
<ds:datastoreItem xmlns:ds="http://schemas.openxmlformats.org/officeDocument/2006/customXml" ds:itemID="{ED9ADFD7-5043-4781-A0DA-222A47CC78C4}">
  <ds:schemaRefs>
    <ds:schemaRef ds:uri="http://schemas.openxmlformats.org/officeDocument/2006/bibliography"/>
  </ds:schemaRefs>
</ds:datastoreItem>
</file>

<file path=customXml/itemProps5.xml><?xml version="1.0" encoding="utf-8"?>
<ds:datastoreItem xmlns:ds="http://schemas.openxmlformats.org/officeDocument/2006/customXml" ds:itemID="{AA540AEC-EEC7-48EA-A98C-6FC8142F1125}">
  <ds:schemaRefs>
    <ds:schemaRef ds:uri="http://schemas.microsoft.com/office/2006/metadata/properties"/>
    <ds:schemaRef ds:uri="http://schemas.microsoft.com/office/infopath/2007/PartnerControls"/>
    <ds:schemaRef ds:uri="eb8dbbb7-6de1-4957-84dd-88d235fe7bc5"/>
    <ds:schemaRef ds:uri="c4e46c96-23e9-46f1-808d-07d690fd6827"/>
  </ds:schemaRefs>
</ds:datastoreItem>
</file>

<file path=customXml/itemProps6.xml><?xml version="1.0" encoding="utf-8"?>
<ds:datastoreItem xmlns:ds="http://schemas.openxmlformats.org/officeDocument/2006/customXml" ds:itemID="{1D209A7F-DCAF-4065-8AF8-B31607E5D6E8}"/>
</file>

<file path=docProps/app.xml><?xml version="1.0" encoding="utf-8"?>
<Properties xmlns="http://schemas.openxmlformats.org/officeDocument/2006/extended-properties" xmlns:vt="http://schemas.openxmlformats.org/officeDocument/2006/docPropsVTypes">
  <Template>Normal</Template>
  <TotalTime>3</TotalTime>
  <Pages>8</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Proofreader</dc:creator>
  <cp:keywords/>
  <dc:description/>
  <cp:lastModifiedBy>Robb Norton</cp:lastModifiedBy>
  <cp:revision>2</cp:revision>
  <dcterms:created xsi:type="dcterms:W3CDTF">2026-02-04T14:20:00Z</dcterms:created>
  <dcterms:modified xsi:type="dcterms:W3CDTF">2026-02-04T14:20:00Z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cf76f155ced4ddcb4097134ff3c332f">
    <vt:lpwstr/>
  </property>
  <property fmtid="{D5CDD505-2E9C-101B-9397-08002B2CF9AE}" pid="4" name="Project ID">
    <vt:lpwstr/>
  </property>
  <property fmtid="{D5CDD505-2E9C-101B-9397-08002B2CF9AE}" pid="5" name="Location_x0020_Field">
    <vt:lpwstr/>
  </property>
  <property fmtid="{D5CDD505-2E9C-101B-9397-08002B2CF9AE}" pid="6" name="Location Field">
    <vt:lpwstr/>
  </property>
  <property fmtid="{D5CDD505-2E9C-101B-9397-08002B2CF9AE}" pid="7" name="Department Field">
    <vt:lpwstr/>
  </property>
  <property fmtid="{D5CDD505-2E9C-101B-9397-08002B2CF9AE}" pid="8" name="Department_x0020_Field">
    <vt:lpwstr/>
  </property>
  <property fmtid="{D5CDD505-2E9C-101B-9397-08002B2CF9AE}" pid="9" name="Owner">
    <vt:lpwstr/>
  </property>
  <property fmtid="{D5CDD505-2E9C-101B-9397-08002B2CF9AE}" pid="10" name="MediaServiceImageTags">
    <vt:lpwstr/>
  </property>
</Properties>
</file>